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2C1BC" w14:textId="77777777" w:rsidR="000E7A38" w:rsidRPr="00833C9B" w:rsidRDefault="000E7A38">
      <w:pPr>
        <w:jc w:val="right"/>
        <w:rPr>
          <w:b/>
          <w:iCs/>
          <w:sz w:val="24"/>
          <w:szCs w:val="24"/>
        </w:rPr>
      </w:pPr>
    </w:p>
    <w:p w14:paraId="77AF35A4" w14:textId="35237CF4" w:rsidR="000E7A38" w:rsidRPr="00833C9B" w:rsidRDefault="003D4226">
      <w:pPr>
        <w:jc w:val="right"/>
        <w:rPr>
          <w:b/>
          <w:iCs/>
          <w:sz w:val="24"/>
          <w:szCs w:val="24"/>
        </w:rPr>
      </w:pPr>
      <w:r w:rsidRPr="00833C9B">
        <w:rPr>
          <w:b/>
          <w:iCs/>
          <w:sz w:val="24"/>
          <w:szCs w:val="24"/>
        </w:rPr>
        <w:t>DECRETO Nº. 0</w:t>
      </w:r>
      <w:r w:rsidR="009A7C72">
        <w:rPr>
          <w:b/>
          <w:iCs/>
          <w:sz w:val="24"/>
          <w:szCs w:val="24"/>
        </w:rPr>
        <w:t>0</w:t>
      </w:r>
      <w:r w:rsidR="004949FF">
        <w:rPr>
          <w:b/>
          <w:iCs/>
          <w:sz w:val="24"/>
          <w:szCs w:val="24"/>
        </w:rPr>
        <w:t>6</w:t>
      </w:r>
      <w:r w:rsidRPr="00833C9B">
        <w:rPr>
          <w:b/>
          <w:iCs/>
          <w:sz w:val="24"/>
          <w:szCs w:val="24"/>
        </w:rPr>
        <w:t xml:space="preserve"> – </w:t>
      </w:r>
      <w:r w:rsidR="004949FF">
        <w:rPr>
          <w:b/>
          <w:iCs/>
          <w:sz w:val="24"/>
          <w:szCs w:val="24"/>
        </w:rPr>
        <w:t>05</w:t>
      </w:r>
      <w:r w:rsidR="009A7C72">
        <w:rPr>
          <w:b/>
          <w:iCs/>
          <w:sz w:val="24"/>
          <w:szCs w:val="24"/>
        </w:rPr>
        <w:t xml:space="preserve"> de </w:t>
      </w:r>
      <w:r w:rsidR="004949FF">
        <w:rPr>
          <w:b/>
          <w:iCs/>
          <w:sz w:val="24"/>
          <w:szCs w:val="24"/>
        </w:rPr>
        <w:t>fevereiro</w:t>
      </w:r>
      <w:r w:rsidR="009A7C72">
        <w:rPr>
          <w:b/>
          <w:iCs/>
          <w:sz w:val="24"/>
          <w:szCs w:val="24"/>
        </w:rPr>
        <w:t xml:space="preserve"> de 202</w:t>
      </w:r>
      <w:r w:rsidR="004949FF">
        <w:rPr>
          <w:b/>
          <w:iCs/>
          <w:sz w:val="24"/>
          <w:szCs w:val="24"/>
        </w:rPr>
        <w:t>6</w:t>
      </w:r>
      <w:r w:rsidRPr="00833C9B">
        <w:rPr>
          <w:b/>
          <w:iCs/>
          <w:sz w:val="24"/>
          <w:szCs w:val="24"/>
        </w:rPr>
        <w:t>.</w:t>
      </w:r>
    </w:p>
    <w:p w14:paraId="17A9C772" w14:textId="77777777" w:rsidR="000E7A38" w:rsidRPr="00833C9B" w:rsidRDefault="000E7A38">
      <w:pPr>
        <w:jc w:val="both"/>
        <w:rPr>
          <w:b/>
          <w:iCs/>
          <w:sz w:val="24"/>
          <w:szCs w:val="24"/>
        </w:rPr>
      </w:pPr>
    </w:p>
    <w:p w14:paraId="6755256C" w14:textId="3D490B9F" w:rsidR="000E7A38" w:rsidRPr="00833C9B" w:rsidRDefault="003D4226" w:rsidP="00FA1AC2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833C9B">
        <w:rPr>
          <w:rFonts w:ascii="Arial" w:hAnsi="Arial" w:cs="Arial"/>
          <w:sz w:val="24"/>
          <w:szCs w:val="24"/>
        </w:rPr>
        <w:t>Dispõe sobre atualização de IPTU, ISSQN, taxas, e critérios de vencimentos e valores mínimos para lançamentos em 202</w:t>
      </w:r>
      <w:r w:rsidR="004949FF">
        <w:rPr>
          <w:rFonts w:ascii="Arial" w:hAnsi="Arial" w:cs="Arial"/>
          <w:sz w:val="24"/>
          <w:szCs w:val="24"/>
        </w:rPr>
        <w:t>6</w:t>
      </w:r>
      <w:r w:rsidRPr="00833C9B">
        <w:rPr>
          <w:rFonts w:ascii="Arial" w:hAnsi="Arial" w:cs="Arial"/>
          <w:sz w:val="24"/>
          <w:szCs w:val="24"/>
        </w:rPr>
        <w:t>.</w:t>
      </w:r>
    </w:p>
    <w:p w14:paraId="4889853D" w14:textId="77777777" w:rsidR="000E7A38" w:rsidRPr="00833C9B" w:rsidRDefault="000E7A38">
      <w:pPr>
        <w:jc w:val="both"/>
        <w:rPr>
          <w:sz w:val="24"/>
          <w:szCs w:val="24"/>
        </w:rPr>
      </w:pPr>
    </w:p>
    <w:p w14:paraId="5EC9494E" w14:textId="77777777" w:rsidR="000E7A38" w:rsidRPr="00833C9B" w:rsidRDefault="000E7A38">
      <w:pPr>
        <w:jc w:val="both"/>
        <w:rPr>
          <w:sz w:val="24"/>
          <w:szCs w:val="24"/>
        </w:rPr>
      </w:pPr>
    </w:p>
    <w:p w14:paraId="6B0E0E80" w14:textId="1BF31367" w:rsidR="000E7A38" w:rsidRPr="00833C9B" w:rsidRDefault="00EB6056">
      <w:pPr>
        <w:ind w:firstLine="1418"/>
        <w:jc w:val="both"/>
        <w:rPr>
          <w:sz w:val="24"/>
          <w:szCs w:val="24"/>
        </w:rPr>
      </w:pPr>
      <w:r w:rsidRPr="00833C9B">
        <w:rPr>
          <w:b/>
          <w:iCs/>
          <w:sz w:val="24"/>
          <w:szCs w:val="24"/>
        </w:rPr>
        <w:t>O</w:t>
      </w:r>
      <w:r w:rsidR="003D4226" w:rsidRPr="00833C9B">
        <w:rPr>
          <w:b/>
          <w:iCs/>
          <w:sz w:val="24"/>
          <w:szCs w:val="24"/>
        </w:rPr>
        <w:t xml:space="preserve"> PREFEIT</w:t>
      </w:r>
      <w:r w:rsidRPr="00833C9B">
        <w:rPr>
          <w:b/>
          <w:iCs/>
          <w:sz w:val="24"/>
          <w:szCs w:val="24"/>
        </w:rPr>
        <w:t>O</w:t>
      </w:r>
      <w:r w:rsidR="003D4226" w:rsidRPr="00833C9B">
        <w:rPr>
          <w:b/>
          <w:iCs/>
          <w:sz w:val="24"/>
          <w:szCs w:val="24"/>
        </w:rPr>
        <w:t xml:space="preserve"> DO MUNICÍPIO DE RIBEIRÃO GRANDE</w:t>
      </w:r>
      <w:r w:rsidR="003D4226" w:rsidRPr="00833C9B">
        <w:rPr>
          <w:iCs/>
          <w:sz w:val="24"/>
          <w:szCs w:val="24"/>
        </w:rPr>
        <w:t>,</w:t>
      </w:r>
      <w:r w:rsidR="003D4226" w:rsidRPr="00833C9B">
        <w:rPr>
          <w:sz w:val="24"/>
          <w:szCs w:val="24"/>
        </w:rPr>
        <w:t xml:space="preserve"> Estado de São Paulo, no uso de suas atribuições legais, </w:t>
      </w:r>
    </w:p>
    <w:p w14:paraId="154F2430" w14:textId="77777777" w:rsidR="000E7A38" w:rsidRPr="00833C9B" w:rsidRDefault="000E7A38">
      <w:pPr>
        <w:jc w:val="both"/>
        <w:rPr>
          <w:sz w:val="24"/>
          <w:szCs w:val="24"/>
        </w:rPr>
      </w:pPr>
    </w:p>
    <w:p w14:paraId="182BF744" w14:textId="77777777" w:rsidR="000E7A38" w:rsidRPr="00833C9B" w:rsidRDefault="000E7A38">
      <w:pPr>
        <w:jc w:val="both"/>
        <w:rPr>
          <w:sz w:val="24"/>
          <w:szCs w:val="24"/>
        </w:rPr>
      </w:pPr>
    </w:p>
    <w:p w14:paraId="69B9BD86" w14:textId="77777777" w:rsidR="000E7A38" w:rsidRPr="00833C9B" w:rsidRDefault="003D4226">
      <w:pPr>
        <w:ind w:firstLine="1418"/>
        <w:jc w:val="both"/>
        <w:rPr>
          <w:b/>
          <w:sz w:val="24"/>
          <w:szCs w:val="24"/>
        </w:rPr>
      </w:pPr>
      <w:r w:rsidRPr="00833C9B">
        <w:rPr>
          <w:b/>
          <w:sz w:val="24"/>
          <w:szCs w:val="24"/>
        </w:rPr>
        <w:t>D E C R E T A:</w:t>
      </w:r>
    </w:p>
    <w:p w14:paraId="15A8A502" w14:textId="77777777" w:rsidR="000E7A38" w:rsidRPr="00833C9B" w:rsidRDefault="000E7A38">
      <w:pPr>
        <w:jc w:val="both"/>
        <w:rPr>
          <w:b/>
          <w:sz w:val="24"/>
          <w:szCs w:val="24"/>
        </w:rPr>
      </w:pPr>
    </w:p>
    <w:p w14:paraId="01CF03B7" w14:textId="77777777" w:rsidR="000E7A38" w:rsidRPr="00833C9B" w:rsidRDefault="003D4226">
      <w:pPr>
        <w:jc w:val="both"/>
        <w:rPr>
          <w:sz w:val="24"/>
          <w:szCs w:val="24"/>
        </w:rPr>
      </w:pPr>
      <w:r w:rsidRPr="00833C9B">
        <w:rPr>
          <w:sz w:val="24"/>
          <w:szCs w:val="24"/>
        </w:rPr>
        <w:tab/>
      </w:r>
    </w:p>
    <w:p w14:paraId="7DCE299E" w14:textId="05A03DB6" w:rsidR="000E7A38" w:rsidRPr="00833C9B" w:rsidRDefault="003D4226">
      <w:pPr>
        <w:tabs>
          <w:tab w:val="left" w:pos="1418"/>
        </w:tabs>
        <w:ind w:firstLine="1418"/>
        <w:jc w:val="both"/>
        <w:rPr>
          <w:sz w:val="24"/>
          <w:szCs w:val="24"/>
        </w:rPr>
      </w:pPr>
      <w:r w:rsidRPr="00833C9B">
        <w:rPr>
          <w:b/>
          <w:sz w:val="24"/>
          <w:szCs w:val="24"/>
        </w:rPr>
        <w:t>Art.1º -</w:t>
      </w:r>
      <w:r w:rsidRPr="00833C9B">
        <w:rPr>
          <w:sz w:val="24"/>
          <w:szCs w:val="24"/>
        </w:rPr>
        <w:t xml:space="preserve"> Fica atualizado </w:t>
      </w:r>
      <w:r w:rsidR="00EB6056" w:rsidRPr="00833C9B">
        <w:rPr>
          <w:sz w:val="24"/>
          <w:szCs w:val="24"/>
        </w:rPr>
        <w:t xml:space="preserve">em </w:t>
      </w:r>
      <w:r w:rsidR="004949FF">
        <w:rPr>
          <w:sz w:val="24"/>
          <w:szCs w:val="24"/>
        </w:rPr>
        <w:t>3,79</w:t>
      </w:r>
      <w:r w:rsidR="002A6FCF">
        <w:rPr>
          <w:sz w:val="24"/>
          <w:szCs w:val="24"/>
        </w:rPr>
        <w:t xml:space="preserve">% </w:t>
      </w:r>
      <w:r w:rsidRPr="00833C9B">
        <w:rPr>
          <w:sz w:val="24"/>
          <w:szCs w:val="24"/>
        </w:rPr>
        <w:t>(</w:t>
      </w:r>
      <w:r w:rsidR="004949FF">
        <w:rPr>
          <w:sz w:val="24"/>
          <w:szCs w:val="24"/>
        </w:rPr>
        <w:t xml:space="preserve">três virgula setenta e </w:t>
      </w:r>
      <w:bookmarkStart w:id="0" w:name="_GoBack"/>
      <w:bookmarkEnd w:id="0"/>
      <w:r w:rsidR="00FA1AC2">
        <w:rPr>
          <w:sz w:val="24"/>
          <w:szCs w:val="24"/>
        </w:rPr>
        <w:t>nove por</w:t>
      </w:r>
      <w:r w:rsidR="002A6FCF">
        <w:rPr>
          <w:sz w:val="24"/>
          <w:szCs w:val="24"/>
        </w:rPr>
        <w:t xml:space="preserve"> cento</w:t>
      </w:r>
      <w:r w:rsidRPr="00833C9B">
        <w:rPr>
          <w:sz w:val="24"/>
          <w:szCs w:val="24"/>
        </w:rPr>
        <w:t>) o valor do I.P.T.U. (Imposto Predial e Territorial Urbano), I.S.S.Q.N. (Imposto Sobre Serviços de Qualquer Natureza) e Taxas constantes dos carnês do Exercício de 20</w:t>
      </w:r>
      <w:r w:rsidR="00EB6056" w:rsidRPr="00833C9B">
        <w:rPr>
          <w:sz w:val="24"/>
          <w:szCs w:val="24"/>
        </w:rPr>
        <w:t>2</w:t>
      </w:r>
      <w:r w:rsidR="004949FF">
        <w:rPr>
          <w:sz w:val="24"/>
          <w:szCs w:val="24"/>
        </w:rPr>
        <w:t>5</w:t>
      </w:r>
      <w:r w:rsidRPr="00833C9B">
        <w:rPr>
          <w:sz w:val="24"/>
          <w:szCs w:val="24"/>
        </w:rPr>
        <w:t>, com base na variação da UFESP (Unidade Fiscal do Estado de São Paulo).</w:t>
      </w:r>
    </w:p>
    <w:p w14:paraId="691F7DB2" w14:textId="77777777" w:rsidR="000E7A38" w:rsidRPr="00833C9B" w:rsidRDefault="000E7A38">
      <w:pPr>
        <w:jc w:val="both"/>
        <w:rPr>
          <w:sz w:val="24"/>
          <w:szCs w:val="24"/>
        </w:rPr>
      </w:pPr>
    </w:p>
    <w:p w14:paraId="78260AC6" w14:textId="77777777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b/>
          <w:sz w:val="24"/>
          <w:szCs w:val="24"/>
        </w:rPr>
        <w:t>Art. 2º -</w:t>
      </w:r>
      <w:r w:rsidRPr="00833C9B">
        <w:rPr>
          <w:sz w:val="24"/>
          <w:szCs w:val="24"/>
        </w:rPr>
        <w:t xml:space="preserve"> O IPTU, ISSQN e taxas, será lançado e arrecadado em 06 (seis) parcelas mensais, com valores mínimos de 30,00 (trinta reais) mensais para lançamento do IPTU e de 50,00 (cinquenta reais) para o ISSQN e taxas, cujos vencimentos dispomos abaixo:</w:t>
      </w:r>
    </w:p>
    <w:p w14:paraId="66784A75" w14:textId="77777777" w:rsidR="000E7A38" w:rsidRPr="00833C9B" w:rsidRDefault="000E7A38">
      <w:pPr>
        <w:jc w:val="both"/>
        <w:rPr>
          <w:color w:val="FF0000"/>
          <w:sz w:val="24"/>
          <w:szCs w:val="24"/>
        </w:rPr>
      </w:pPr>
    </w:p>
    <w:p w14:paraId="2FCD6683" w14:textId="076FF5C5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b/>
          <w:sz w:val="24"/>
          <w:szCs w:val="24"/>
        </w:rPr>
        <w:t>PARÁGRAFO ÚNICO –</w:t>
      </w:r>
      <w:r w:rsidRPr="00833C9B">
        <w:rPr>
          <w:sz w:val="24"/>
          <w:szCs w:val="24"/>
        </w:rPr>
        <w:t xml:space="preserve"> A parcela única, até o dia 30 (trinta) do mês de</w:t>
      </w:r>
      <w:r w:rsidR="00EB6056" w:rsidRPr="00833C9B">
        <w:rPr>
          <w:sz w:val="24"/>
          <w:szCs w:val="24"/>
        </w:rPr>
        <w:t xml:space="preserve"> </w:t>
      </w:r>
      <w:r w:rsidR="009E3FCF">
        <w:rPr>
          <w:sz w:val="24"/>
          <w:szCs w:val="24"/>
        </w:rPr>
        <w:t>abril</w:t>
      </w:r>
      <w:r w:rsidRPr="00833C9B">
        <w:rPr>
          <w:sz w:val="24"/>
          <w:szCs w:val="24"/>
        </w:rPr>
        <w:t>, aplica-se desconto de 15% sobre o valor total lançado.</w:t>
      </w:r>
    </w:p>
    <w:p w14:paraId="75E27AAA" w14:textId="77777777" w:rsidR="000E7A38" w:rsidRPr="00833C9B" w:rsidRDefault="000E7A38">
      <w:pPr>
        <w:jc w:val="both"/>
        <w:rPr>
          <w:sz w:val="24"/>
          <w:szCs w:val="24"/>
        </w:rPr>
      </w:pPr>
    </w:p>
    <w:p w14:paraId="0C88CC1D" w14:textId="1BC0ED41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1º Parcela – até o dia 30 (trinta) do mês de </w:t>
      </w:r>
      <w:r w:rsidR="009E3FCF">
        <w:rPr>
          <w:sz w:val="24"/>
          <w:szCs w:val="24"/>
        </w:rPr>
        <w:t>abril</w:t>
      </w:r>
      <w:r w:rsidRPr="00833C9B">
        <w:rPr>
          <w:sz w:val="24"/>
          <w:szCs w:val="24"/>
        </w:rPr>
        <w:t>;</w:t>
      </w:r>
    </w:p>
    <w:p w14:paraId="770B2DDA" w14:textId="219EDAAD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2º Parcela – até o dia 30 (trinta) do mês de </w:t>
      </w:r>
      <w:r w:rsidR="009E3FCF">
        <w:rPr>
          <w:sz w:val="24"/>
          <w:szCs w:val="24"/>
        </w:rPr>
        <w:t>maio</w:t>
      </w:r>
      <w:r w:rsidRPr="00833C9B">
        <w:rPr>
          <w:sz w:val="24"/>
          <w:szCs w:val="24"/>
        </w:rPr>
        <w:t>;</w:t>
      </w:r>
    </w:p>
    <w:p w14:paraId="02EB02AE" w14:textId="6E07EB2A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3º Parcela – até o dia 30 (trinta) do mês de </w:t>
      </w:r>
      <w:r w:rsidR="00C12556">
        <w:rPr>
          <w:sz w:val="24"/>
          <w:szCs w:val="24"/>
        </w:rPr>
        <w:t>ju</w:t>
      </w:r>
      <w:r w:rsidR="009E3FCF">
        <w:rPr>
          <w:sz w:val="24"/>
          <w:szCs w:val="24"/>
        </w:rPr>
        <w:t>nh</w:t>
      </w:r>
      <w:r w:rsidR="00C12556">
        <w:rPr>
          <w:sz w:val="24"/>
          <w:szCs w:val="24"/>
        </w:rPr>
        <w:t>o</w:t>
      </w:r>
      <w:r w:rsidRPr="00833C9B">
        <w:rPr>
          <w:sz w:val="24"/>
          <w:szCs w:val="24"/>
        </w:rPr>
        <w:t>;</w:t>
      </w:r>
    </w:p>
    <w:p w14:paraId="0CD271B4" w14:textId="5271721D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4º Parcela – até o dia 30 (trinta) do mês de </w:t>
      </w:r>
      <w:r w:rsidR="009E3FCF">
        <w:rPr>
          <w:sz w:val="24"/>
          <w:szCs w:val="24"/>
        </w:rPr>
        <w:t>julho</w:t>
      </w:r>
      <w:r w:rsidRPr="00833C9B">
        <w:rPr>
          <w:sz w:val="24"/>
          <w:szCs w:val="24"/>
        </w:rPr>
        <w:t>;</w:t>
      </w:r>
    </w:p>
    <w:p w14:paraId="0060CB7B" w14:textId="2A88028C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5º Parcela – até o dia 30 (trinta) do mês de </w:t>
      </w:r>
      <w:r w:rsidR="009E3FCF">
        <w:rPr>
          <w:sz w:val="24"/>
          <w:szCs w:val="24"/>
        </w:rPr>
        <w:t>agosto</w:t>
      </w:r>
      <w:r w:rsidRPr="00833C9B">
        <w:rPr>
          <w:sz w:val="24"/>
          <w:szCs w:val="24"/>
        </w:rPr>
        <w:t>;</w:t>
      </w:r>
    </w:p>
    <w:p w14:paraId="1C6AE3ED" w14:textId="710FDCED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sz w:val="24"/>
          <w:szCs w:val="24"/>
        </w:rPr>
        <w:t xml:space="preserve">6º Parcela – até o dia 30 (trinta) do mês de </w:t>
      </w:r>
      <w:r w:rsidR="009E3FCF">
        <w:rPr>
          <w:sz w:val="24"/>
          <w:szCs w:val="24"/>
        </w:rPr>
        <w:t>setembro</w:t>
      </w:r>
    </w:p>
    <w:p w14:paraId="4BB6B2CC" w14:textId="77777777" w:rsidR="000E7A38" w:rsidRPr="00833C9B" w:rsidRDefault="000E7A38">
      <w:pPr>
        <w:ind w:firstLine="1418"/>
        <w:jc w:val="both"/>
        <w:rPr>
          <w:sz w:val="24"/>
          <w:szCs w:val="24"/>
        </w:rPr>
      </w:pPr>
    </w:p>
    <w:p w14:paraId="3AF62A24" w14:textId="77777777" w:rsidR="000E7A38" w:rsidRPr="00833C9B" w:rsidRDefault="000E7A38">
      <w:pPr>
        <w:jc w:val="both"/>
        <w:rPr>
          <w:sz w:val="24"/>
          <w:szCs w:val="24"/>
        </w:rPr>
      </w:pPr>
    </w:p>
    <w:p w14:paraId="10BB8A23" w14:textId="77777777" w:rsidR="000E7A38" w:rsidRPr="00833C9B" w:rsidRDefault="003D4226">
      <w:pPr>
        <w:ind w:firstLine="1418"/>
        <w:jc w:val="both"/>
        <w:rPr>
          <w:sz w:val="24"/>
          <w:szCs w:val="24"/>
        </w:rPr>
      </w:pPr>
      <w:r w:rsidRPr="00833C9B">
        <w:rPr>
          <w:b/>
          <w:sz w:val="24"/>
          <w:szCs w:val="24"/>
        </w:rPr>
        <w:t>Art. 3º -</w:t>
      </w:r>
      <w:r w:rsidRPr="00833C9B">
        <w:rPr>
          <w:sz w:val="24"/>
          <w:szCs w:val="24"/>
        </w:rPr>
        <w:t xml:space="preserve"> Este decreto entrará em vigor na data de sua publicação.</w:t>
      </w:r>
    </w:p>
    <w:p w14:paraId="05AF1924" w14:textId="77777777" w:rsidR="000E7A38" w:rsidRPr="00833C9B" w:rsidRDefault="003D4226">
      <w:pPr>
        <w:rPr>
          <w:sz w:val="24"/>
          <w:szCs w:val="24"/>
        </w:rPr>
      </w:pPr>
      <w:r w:rsidRPr="00833C9B">
        <w:rPr>
          <w:sz w:val="24"/>
          <w:szCs w:val="24"/>
        </w:rPr>
        <w:tab/>
      </w:r>
      <w:r w:rsidRPr="00833C9B">
        <w:rPr>
          <w:sz w:val="24"/>
          <w:szCs w:val="24"/>
        </w:rPr>
        <w:tab/>
      </w:r>
    </w:p>
    <w:p w14:paraId="2D31C806" w14:textId="77777777" w:rsidR="00C12556" w:rsidRPr="00833C9B" w:rsidRDefault="00C12556" w:rsidP="009E3FCF">
      <w:pPr>
        <w:rPr>
          <w:b/>
          <w:iCs/>
          <w:sz w:val="24"/>
          <w:szCs w:val="24"/>
        </w:rPr>
      </w:pPr>
    </w:p>
    <w:p w14:paraId="4F8616F8" w14:textId="77777777" w:rsidR="00C50AE9" w:rsidRPr="00833C9B" w:rsidRDefault="00C50AE9" w:rsidP="00C50AE9">
      <w:pPr>
        <w:ind w:firstLine="1418"/>
        <w:jc w:val="center"/>
        <w:rPr>
          <w:b/>
          <w:iCs/>
          <w:sz w:val="24"/>
          <w:szCs w:val="24"/>
        </w:rPr>
      </w:pPr>
    </w:p>
    <w:p w14:paraId="0734213F" w14:textId="0E53B0C7" w:rsidR="000E7A38" w:rsidRPr="00833C9B" w:rsidRDefault="00C50AE9" w:rsidP="00C50AE9">
      <w:pPr>
        <w:ind w:firstLine="1418"/>
        <w:rPr>
          <w:b/>
          <w:iCs/>
          <w:sz w:val="24"/>
          <w:szCs w:val="24"/>
        </w:rPr>
      </w:pPr>
      <w:r w:rsidRPr="00833C9B">
        <w:rPr>
          <w:b/>
          <w:iCs/>
          <w:sz w:val="24"/>
          <w:szCs w:val="24"/>
        </w:rPr>
        <w:t xml:space="preserve">                                    MARCELO LUIS NUNES</w:t>
      </w:r>
    </w:p>
    <w:p w14:paraId="3BB4D17A" w14:textId="67D62B4A" w:rsidR="00C50AE9" w:rsidRPr="00833C9B" w:rsidRDefault="00C50AE9" w:rsidP="00C50AE9">
      <w:pPr>
        <w:ind w:firstLine="1418"/>
        <w:rPr>
          <w:b/>
          <w:iCs/>
          <w:sz w:val="24"/>
          <w:szCs w:val="24"/>
        </w:rPr>
      </w:pPr>
      <w:r w:rsidRPr="00833C9B">
        <w:rPr>
          <w:b/>
          <w:iCs/>
          <w:sz w:val="24"/>
          <w:szCs w:val="24"/>
        </w:rPr>
        <w:t xml:space="preserve">                                     PREFEITO MUNICIPAL</w:t>
      </w:r>
    </w:p>
    <w:sectPr w:rsidR="00C50AE9" w:rsidRPr="00833C9B">
      <w:headerReference w:type="default" r:id="rId7"/>
      <w:footerReference w:type="default" r:id="rId8"/>
      <w:pgSz w:w="11906" w:h="16838"/>
      <w:pgMar w:top="1843" w:right="990" w:bottom="1134" w:left="993" w:header="284" w:footer="7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4C395F" w14:textId="77777777" w:rsidR="00F64785" w:rsidRDefault="00F64785">
      <w:r>
        <w:separator/>
      </w:r>
    </w:p>
  </w:endnote>
  <w:endnote w:type="continuationSeparator" w:id="0">
    <w:p w14:paraId="7C8DBF99" w14:textId="77777777" w:rsidR="00F64785" w:rsidRDefault="00F64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panose1 w:val="00000000000000000000"/>
    <w:charset w:val="00"/>
    <w:family w:val="roman"/>
    <w:notTrueType/>
    <w:pitch w:val="default"/>
  </w:font>
  <w:font w:name="Liberation Sans;Arial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lgerian;comi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A733F1" w14:textId="1B141279" w:rsidR="000E7A38" w:rsidRDefault="004949FF">
    <w:pPr>
      <w:pStyle w:val="Rodap"/>
      <w:pBdr>
        <w:bottom w:val="single" w:sz="8" w:space="1" w:color="000000"/>
      </w:pBdr>
      <w:ind w:right="360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1" allowOverlap="1" wp14:anchorId="1E16280F" wp14:editId="14C9C194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2865" cy="139065"/>
              <wp:effectExtent l="0" t="0" r="0" b="0"/>
              <wp:wrapSquare wrapText="largest"/>
              <wp:docPr id="2" name="Quadro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865" cy="139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58B4D0D6" w14:textId="77777777" w:rsidR="000E7A38" w:rsidRDefault="000E7A38">
                          <w:pPr>
                            <w:pStyle w:val="Rodap"/>
                          </w:pPr>
                        </w:p>
                      </w:txbxContent>
                    </wps:txbx>
                    <wps:bodyPr lIns="1905" tIns="1905" rIns="1905" bIns="1905" anchor="t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1E16280F" id="_x0000_t202" coordsize="21600,21600" o:spt="202" path="m,l,21600r21600,l21600,xe">
              <v:stroke joinstyle="miter"/>
              <v:path gradientshapeok="t" o:connecttype="rect"/>
            </v:shapetype>
            <v:shape id="Quadro1" o:spid="_x0000_s1026" type="#_x0000_t202" style="position:absolute;left:0;text-align:left;margin-left:533pt;margin-top:.05pt;width:4.95pt;height:10.95pt;z-index:3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" stroked="f">
              <v:fill opacity="0"/>
              <v:textbox inset=".15pt,.15pt,.15pt,.15pt">
                <w:txbxContent>
                  <w:p w14:paraId="58B4D0D6" w14:textId="77777777" w:rsidR="000E7A38" w:rsidRDefault="000E7A38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38807C38" w14:textId="77777777" w:rsidR="000E7A38" w:rsidRDefault="003D4226">
    <w:pPr>
      <w:pStyle w:val="Rodap"/>
      <w:jc w:val="center"/>
    </w:pPr>
    <w:r>
      <w:t>Publicado e afixado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9E7C42" w14:textId="77777777" w:rsidR="00F64785" w:rsidRDefault="00F64785">
      <w:r>
        <w:separator/>
      </w:r>
    </w:p>
  </w:footnote>
  <w:footnote w:type="continuationSeparator" w:id="0">
    <w:p w14:paraId="6E99769F" w14:textId="77777777" w:rsidR="00F64785" w:rsidRDefault="00F647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882" w:type="dxa"/>
      <w:tblInd w:w="-14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7"/>
      <w:gridCol w:w="9275"/>
    </w:tblGrid>
    <w:tr w:rsidR="000E7A38" w14:paraId="4DCBE648" w14:textId="77777777" w:rsidTr="00C50AE9">
      <w:trPr>
        <w:trHeight w:val="2166"/>
      </w:trPr>
      <w:tc>
        <w:tcPr>
          <w:tcW w:w="1607" w:type="dxa"/>
          <w:tcBorders>
            <w:bottom w:val="double" w:sz="2" w:space="0" w:color="000000"/>
          </w:tcBorders>
        </w:tcPr>
        <w:p w14:paraId="568F15B2" w14:textId="77777777" w:rsidR="000E7A38" w:rsidRDefault="003D4226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rFonts w:ascii="Algerian;comic" w:hAnsi="Algerian;comic" w:cs="Algerian;comic"/>
              <w:noProof/>
              <w:color w:val="000000"/>
            </w:rPr>
            <w:drawing>
              <wp:inline distT="0" distB="0" distL="0" distR="0" wp14:anchorId="5034BDAC" wp14:editId="125D54A4">
                <wp:extent cx="931545" cy="1006475"/>
                <wp:effectExtent l="0" t="0" r="0" b="0"/>
                <wp:docPr id="1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18" t="-17" r="-18" b="-1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1545" cy="1006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75" w:type="dxa"/>
          <w:tcBorders>
            <w:bottom w:val="double" w:sz="2" w:space="0" w:color="000000"/>
          </w:tcBorders>
        </w:tcPr>
        <w:p w14:paraId="4A4026FB" w14:textId="77777777" w:rsidR="000E7A38" w:rsidRDefault="000E7A38">
          <w:pPr>
            <w:pStyle w:val="Ttulo2"/>
            <w:snapToGrid w:val="0"/>
            <w:rPr>
              <w:i/>
              <w:color w:val="000000"/>
              <w:szCs w:val="36"/>
            </w:rPr>
          </w:pPr>
        </w:p>
        <w:p w14:paraId="1A243DE8" w14:textId="77777777" w:rsidR="000E7A38" w:rsidRDefault="003D4226">
          <w:pPr>
            <w:pStyle w:val="Ttulo2"/>
            <w:numPr>
              <w:ilvl w:val="0"/>
              <w:numId w:val="0"/>
            </w:numPr>
            <w:rPr>
              <w:b/>
              <w:color w:val="000000"/>
              <w:szCs w:val="36"/>
            </w:rPr>
          </w:pPr>
          <w:r>
            <w:rPr>
              <w:b/>
              <w:color w:val="000000"/>
              <w:szCs w:val="36"/>
            </w:rPr>
            <w:t>PREFEITURA DO MUNICÍPIO DE RIBEIRÃO GRANDE</w:t>
          </w:r>
        </w:p>
        <w:p w14:paraId="7B67B522" w14:textId="77777777" w:rsidR="000E7A38" w:rsidRDefault="003D4226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14:paraId="549CE0F9" w14:textId="77777777" w:rsidR="000E7A38" w:rsidRDefault="000E7A38">
          <w:pPr>
            <w:rPr>
              <w:i/>
              <w:color w:val="000000"/>
              <w:sz w:val="24"/>
              <w:szCs w:val="24"/>
            </w:rPr>
          </w:pPr>
        </w:p>
        <w:p w14:paraId="216F819B" w14:textId="77777777" w:rsidR="000E7A38" w:rsidRDefault="000E7A38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14:paraId="224E433B" w14:textId="77777777" w:rsidR="000E7A38" w:rsidRDefault="000E7A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6414C"/>
    <w:multiLevelType w:val="multilevel"/>
    <w:tmpl w:val="787231DE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A38"/>
    <w:rsid w:val="000E7A38"/>
    <w:rsid w:val="00104C73"/>
    <w:rsid w:val="00144D21"/>
    <w:rsid w:val="002831FF"/>
    <w:rsid w:val="002A6FCF"/>
    <w:rsid w:val="002E3EA1"/>
    <w:rsid w:val="003151A6"/>
    <w:rsid w:val="003A6E26"/>
    <w:rsid w:val="003D4226"/>
    <w:rsid w:val="004219EF"/>
    <w:rsid w:val="004949FF"/>
    <w:rsid w:val="004D0657"/>
    <w:rsid w:val="00584E02"/>
    <w:rsid w:val="00587028"/>
    <w:rsid w:val="007C4368"/>
    <w:rsid w:val="007E3280"/>
    <w:rsid w:val="007F444C"/>
    <w:rsid w:val="00833C9B"/>
    <w:rsid w:val="008F22D5"/>
    <w:rsid w:val="009A7C72"/>
    <w:rsid w:val="009E3FCF"/>
    <w:rsid w:val="00BF6E18"/>
    <w:rsid w:val="00C12556"/>
    <w:rsid w:val="00C436B3"/>
    <w:rsid w:val="00C50AE9"/>
    <w:rsid w:val="00CA51D9"/>
    <w:rsid w:val="00CE4640"/>
    <w:rsid w:val="00E0359E"/>
    <w:rsid w:val="00EB6056"/>
    <w:rsid w:val="00F64785"/>
    <w:rsid w:val="00FA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431DE1"/>
  <w15:docId w15:val="{79BA4CED-A783-4A07-B831-14891F5A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ascii="Arial" w:eastAsia="Times New Roman" w:hAnsi="Arial" w:cs="Arial"/>
      <w:sz w:val="20"/>
      <w:szCs w:val="20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paragraph" w:styleId="Ttulo6">
    <w:name w:val="heading 6"/>
    <w:basedOn w:val="Normal"/>
    <w:next w:val="Normal"/>
    <w:uiPriority w:val="9"/>
    <w:unhideWhenUsed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OpenSymbol;Arial Unicode MS"/>
      <w:b w:val="0"/>
    </w:rPr>
  </w:style>
  <w:style w:type="character" w:customStyle="1" w:styleId="WW8Num2z1">
    <w:name w:val="WW8Num2z1"/>
    <w:qFormat/>
    <w:rPr>
      <w:rFonts w:ascii="Symbol" w:hAnsi="Symbol" w:cs="OpenSymbol;Arial Unicode MS"/>
    </w:rPr>
  </w:style>
  <w:style w:type="character" w:customStyle="1" w:styleId="Fontepargpadro2">
    <w:name w:val="Fonte parág. padrão2"/>
    <w:qFormat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Fontepargpadro1">
    <w:name w:val="Fonte parág. padrão1"/>
    <w:qFormat/>
  </w:style>
  <w:style w:type="character" w:styleId="Nmerodepgina">
    <w:name w:val="page number"/>
    <w:basedOn w:val="Fontepargpadro1"/>
  </w:style>
  <w:style w:type="character" w:customStyle="1" w:styleId="Smbolosdenumerao">
    <w:name w:val="Símbolos de numeração"/>
    <w:qFormat/>
  </w:style>
  <w:style w:type="character" w:customStyle="1" w:styleId="Ttulo6Char">
    <w:name w:val="Título 6 Char"/>
    <w:basedOn w:val="Fontepargpadro"/>
    <w:qFormat/>
    <w:rPr>
      <w:rFonts w:ascii="Calibri" w:eastAsia="Times New Roman" w:hAnsi="Calibri" w:cs="Times New Roman"/>
      <w:b/>
      <w:bCs/>
      <w:sz w:val="22"/>
      <w:szCs w:val="22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Corpodetexto">
    <w:name w:val="Body Text"/>
    <w:basedOn w:val="Normal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2">
    <w:name w:val="Legenda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qFormat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ind w:left="3544" w:hanging="3544"/>
      <w:jc w:val="both"/>
    </w:pPr>
    <w:rPr>
      <w:rFonts w:ascii="Tahoma" w:hAnsi="Tahoma" w:cs="Tahoma"/>
    </w:rPr>
  </w:style>
  <w:style w:type="paragraph" w:customStyle="1" w:styleId="Contedodoquadro">
    <w:name w:val="Conteúdo do quadro"/>
    <w:basedOn w:val="Corpodetexto"/>
    <w:qFormat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atabela">
    <w:name w:val="Título da tabela"/>
    <w:basedOn w:val="Contedodatabela"/>
    <w:qFormat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qFormat/>
    <w:pPr>
      <w:suppressLineNumbers/>
    </w:pPr>
  </w:style>
  <w:style w:type="paragraph" w:customStyle="1" w:styleId="Ttulodetabela">
    <w:name w:val="Título de tabela"/>
    <w:basedOn w:val="Contedodetabela"/>
    <w:qFormat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qFormat/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SemEspaamento">
    <w:name w:val="No Spacing"/>
    <w:qFormat/>
    <w:pPr>
      <w:suppressAutoHyphens/>
    </w:pPr>
    <w:rPr>
      <w:rFonts w:ascii="Calibri" w:eastAsia="Calibri" w:hAnsi="Calibri" w:cs="Calibri"/>
      <w:sz w:val="22"/>
      <w:szCs w:val="22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dc:description/>
  <cp:lastModifiedBy>Jurídico</cp:lastModifiedBy>
  <cp:revision>3</cp:revision>
  <cp:lastPrinted>1995-11-21T17:41:00Z</cp:lastPrinted>
  <dcterms:created xsi:type="dcterms:W3CDTF">2026-02-05T17:03:00Z</dcterms:created>
  <dcterms:modified xsi:type="dcterms:W3CDTF">2026-02-11T11:49:00Z</dcterms:modified>
  <dc:language>pt-BR</dc:language>
</cp:coreProperties>
</file>